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1A19" w:rsidRDefault="00E306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Template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for</w:t>
      </w:r>
      <w:proofErr w:type="spellEnd"/>
      <w:r>
        <w:rPr>
          <w:b/>
          <w:color w:val="000000"/>
          <w:sz w:val="28"/>
          <w:szCs w:val="28"/>
        </w:rPr>
        <w:t xml:space="preserve"> Extended </w:t>
      </w:r>
      <w:proofErr w:type="spellStart"/>
      <w:r>
        <w:rPr>
          <w:b/>
          <w:color w:val="000000"/>
          <w:sz w:val="28"/>
          <w:szCs w:val="28"/>
        </w:rPr>
        <w:t>Abstracts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for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the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>
        <w:rPr>
          <w:b/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International </w:t>
      </w:r>
      <w:proofErr w:type="spellStart"/>
      <w:r>
        <w:rPr>
          <w:b/>
          <w:color w:val="000000"/>
          <w:sz w:val="28"/>
          <w:szCs w:val="28"/>
        </w:rPr>
        <w:t>Conference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on</w:t>
      </w:r>
      <w:proofErr w:type="spellEnd"/>
      <w:r>
        <w:rPr>
          <w:b/>
          <w:color w:val="000000"/>
          <w:sz w:val="28"/>
          <w:szCs w:val="28"/>
        </w:rPr>
        <w:t xml:space="preserve"> Library and </w:t>
      </w:r>
      <w:proofErr w:type="spellStart"/>
      <w:r>
        <w:rPr>
          <w:b/>
          <w:color w:val="000000"/>
          <w:sz w:val="28"/>
          <w:szCs w:val="28"/>
        </w:rPr>
        <w:t>Information</w:t>
      </w:r>
      <w:proofErr w:type="spellEnd"/>
      <w:r>
        <w:rPr>
          <w:b/>
          <w:color w:val="000000"/>
          <w:sz w:val="28"/>
          <w:szCs w:val="28"/>
        </w:rPr>
        <w:t xml:space="preserve"> Management (ICLIM 20</w:t>
      </w:r>
      <w:r>
        <w:rPr>
          <w:b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>)</w:t>
      </w:r>
    </w:p>
    <w:p w:rsidR="00E61A19" w:rsidRDefault="00E61A1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E61A19" w:rsidRDefault="00E306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  <w:vertAlign w:val="superscript"/>
        </w:rPr>
      </w:pPr>
      <w:proofErr w:type="spellStart"/>
      <w:r>
        <w:rPr>
          <w:b/>
          <w:color w:val="000000"/>
        </w:rPr>
        <w:t>First</w:t>
      </w:r>
      <w:proofErr w:type="spellEnd"/>
      <w:r>
        <w:rPr>
          <w:b/>
          <w:color w:val="000000"/>
        </w:rPr>
        <w:t xml:space="preserve"> A. </w:t>
      </w:r>
      <w:proofErr w:type="spellStart"/>
      <w:r>
        <w:rPr>
          <w:b/>
          <w:color w:val="000000"/>
        </w:rPr>
        <w:t>Author</w:t>
      </w:r>
      <w:proofErr w:type="spellEnd"/>
      <w:r>
        <w:rPr>
          <w:b/>
          <w:color w:val="000000"/>
        </w:rPr>
        <w:t>*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Second</w:t>
      </w:r>
      <w:proofErr w:type="spellEnd"/>
      <w:r>
        <w:rPr>
          <w:b/>
          <w:color w:val="000000"/>
        </w:rPr>
        <w:t xml:space="preserve"> B. Author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and </w:t>
      </w:r>
      <w:proofErr w:type="spellStart"/>
      <w:r>
        <w:rPr>
          <w:b/>
          <w:color w:val="000000"/>
        </w:rPr>
        <w:t>Third</w:t>
      </w:r>
      <w:proofErr w:type="spellEnd"/>
      <w:r>
        <w:rPr>
          <w:b/>
          <w:color w:val="000000"/>
        </w:rPr>
        <w:t xml:space="preserve"> C. Author</w:t>
      </w:r>
      <w:r>
        <w:rPr>
          <w:b/>
          <w:color w:val="000000"/>
          <w:vertAlign w:val="superscript"/>
        </w:rPr>
        <w:t>3</w:t>
      </w:r>
    </w:p>
    <w:p w:rsidR="00E61A19" w:rsidRDefault="00E61A1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:rsidR="00E61A19" w:rsidRDefault="00E306C6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1, 2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Authors</w:t>
      </w:r>
      <w:proofErr w:type="spellEnd"/>
      <w:r>
        <w:rPr>
          <w:sz w:val="22"/>
          <w:szCs w:val="22"/>
        </w:rPr>
        <w:t xml:space="preserve">’ </w:t>
      </w:r>
      <w:proofErr w:type="spellStart"/>
      <w:r>
        <w:rPr>
          <w:sz w:val="22"/>
          <w:szCs w:val="22"/>
        </w:rPr>
        <w:t>Department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Institute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Organisation</w:t>
      </w:r>
      <w:proofErr w:type="spellEnd"/>
      <w:r>
        <w:rPr>
          <w:sz w:val="22"/>
          <w:szCs w:val="22"/>
        </w:rPr>
        <w:t xml:space="preserve">, Country </w:t>
      </w:r>
    </w:p>
    <w:p w:rsidR="00E61A19" w:rsidRDefault="00E306C6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(E-mail: </w:t>
      </w:r>
      <w:hyperlink r:id="rId8">
        <w:r>
          <w:rPr>
            <w:color w:val="000000"/>
            <w:sz w:val="22"/>
            <w:szCs w:val="22"/>
          </w:rPr>
          <w:t>firstauthorsname@aaaa.bbb</w:t>
        </w:r>
      </w:hyperlink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secondauthorsname@aaaa.bbb</w:t>
      </w:r>
      <w:proofErr w:type="spellEnd"/>
      <w:r>
        <w:rPr>
          <w:sz w:val="22"/>
          <w:szCs w:val="22"/>
        </w:rPr>
        <w:t>)</w:t>
      </w:r>
    </w:p>
    <w:p w:rsidR="00E61A19" w:rsidRDefault="00E306C6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Author’s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Department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Institute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Organisation</w:t>
      </w:r>
      <w:proofErr w:type="spellEnd"/>
      <w:r>
        <w:rPr>
          <w:sz w:val="22"/>
          <w:szCs w:val="22"/>
        </w:rPr>
        <w:t xml:space="preserve">, Country </w:t>
      </w:r>
    </w:p>
    <w:p w:rsidR="00E61A19" w:rsidRDefault="00E306C6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(E-mail: </w:t>
      </w:r>
      <w:proofErr w:type="spellStart"/>
      <w:r>
        <w:rPr>
          <w:sz w:val="22"/>
          <w:szCs w:val="22"/>
        </w:rPr>
        <w:t>thirdauthorsname@aaaa.bbb</w:t>
      </w:r>
      <w:proofErr w:type="spellEnd"/>
      <w:r>
        <w:rPr>
          <w:sz w:val="22"/>
          <w:szCs w:val="22"/>
        </w:rPr>
        <w:t>)</w:t>
      </w:r>
    </w:p>
    <w:p w:rsidR="00E61A19" w:rsidRDefault="00E61A1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61A19" w:rsidRDefault="00E306C6">
      <w:pPr>
        <w:ind w:right="567"/>
        <w:jc w:val="both"/>
        <w:rPr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Abstract</w:t>
      </w:r>
      <w:proofErr w:type="spellEnd"/>
      <w:r>
        <w:rPr>
          <w:b/>
          <w:i/>
          <w:color w:val="4F81BD"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Abstract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should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written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font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size</w:t>
      </w:r>
      <w:proofErr w:type="spellEnd"/>
      <w:r>
        <w:rPr>
          <w:sz w:val="20"/>
          <w:szCs w:val="20"/>
        </w:rPr>
        <w:t xml:space="preserve">, Times New </w:t>
      </w:r>
      <w:proofErr w:type="spellStart"/>
      <w:r>
        <w:rPr>
          <w:sz w:val="20"/>
          <w:szCs w:val="20"/>
        </w:rPr>
        <w:t>Roman</w:t>
      </w:r>
      <w:proofErr w:type="spellEnd"/>
      <w:r>
        <w:rPr>
          <w:sz w:val="20"/>
          <w:szCs w:val="20"/>
        </w:rPr>
        <w:t xml:space="preserve">, single line </w:t>
      </w:r>
      <w:proofErr w:type="spellStart"/>
      <w:r>
        <w:rPr>
          <w:sz w:val="20"/>
          <w:szCs w:val="20"/>
        </w:rPr>
        <w:t>spacing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abstract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should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concise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should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contain</w:t>
      </w:r>
      <w:proofErr w:type="spellEnd"/>
      <w:r>
        <w:rPr>
          <w:sz w:val="20"/>
          <w:szCs w:val="20"/>
        </w:rPr>
        <w:t xml:space="preserve"> no more </w:t>
      </w:r>
      <w:proofErr w:type="spellStart"/>
      <w:r>
        <w:rPr>
          <w:sz w:val="20"/>
          <w:szCs w:val="20"/>
        </w:rPr>
        <w:t>than</w:t>
      </w:r>
      <w:proofErr w:type="spellEnd"/>
      <w:r>
        <w:rPr>
          <w:sz w:val="20"/>
          <w:szCs w:val="20"/>
        </w:rPr>
        <w:t xml:space="preserve"> 300 </w:t>
      </w:r>
      <w:proofErr w:type="spellStart"/>
      <w:r>
        <w:rPr>
          <w:sz w:val="20"/>
          <w:szCs w:val="20"/>
        </w:rPr>
        <w:t>words</w:t>
      </w:r>
      <w:proofErr w:type="spellEnd"/>
    </w:p>
    <w:p w:rsidR="00E61A19" w:rsidRDefault="00E61A19">
      <w:pPr>
        <w:widowControl/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color w:val="000000"/>
        </w:rPr>
      </w:pPr>
    </w:p>
    <w:p w:rsidR="00E61A19" w:rsidRDefault="00E306C6">
      <w:pPr>
        <w:widowControl/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color w:val="000000"/>
          <w:sz w:val="20"/>
          <w:szCs w:val="20"/>
        </w:rPr>
      </w:pPr>
      <w:proofErr w:type="spellStart"/>
      <w:r>
        <w:rPr>
          <w:b/>
          <w:i/>
          <w:color w:val="000000"/>
          <w:sz w:val="20"/>
          <w:szCs w:val="20"/>
        </w:rPr>
        <w:t>Keywords</w:t>
      </w:r>
      <w:proofErr w:type="spellEnd"/>
      <w:r>
        <w:rPr>
          <w:b/>
          <w:color w:val="4F81BD"/>
          <w:sz w:val="20"/>
          <w:szCs w:val="20"/>
        </w:rPr>
        <w:t>:</w:t>
      </w:r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section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should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contain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maximum</w:t>
      </w:r>
      <w:proofErr w:type="spellEnd"/>
      <w:r>
        <w:rPr>
          <w:color w:val="000000"/>
          <w:sz w:val="20"/>
          <w:szCs w:val="20"/>
        </w:rPr>
        <w:t xml:space="preserve"> 5 </w:t>
      </w:r>
      <w:proofErr w:type="spellStart"/>
      <w:r>
        <w:rPr>
          <w:color w:val="000000"/>
          <w:sz w:val="20"/>
          <w:szCs w:val="20"/>
        </w:rPr>
        <w:t>words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separated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commas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61A19" w:rsidRDefault="00E61A1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61A19" w:rsidRDefault="00E61A1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61A19" w:rsidRDefault="00E306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EXTENDED ABSTRACT</w:t>
      </w:r>
    </w:p>
    <w:p w:rsidR="00E61A19" w:rsidRDefault="00E61A1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61A19" w:rsidRDefault="00E306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instructions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needed</w:t>
      </w:r>
      <w:proofErr w:type="spellEnd"/>
      <w:r>
        <w:rPr>
          <w:color w:val="000000"/>
        </w:rPr>
        <w:t xml:space="preserve"> to prepare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extended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(2-4 </w:t>
      </w:r>
      <w:proofErr w:type="spellStart"/>
      <w:r>
        <w:rPr>
          <w:color w:val="000000"/>
        </w:rPr>
        <w:t>pages</w:t>
      </w:r>
      <w:proofErr w:type="spellEnd"/>
      <w:r>
        <w:rPr>
          <w:color w:val="000000"/>
        </w:rPr>
        <w:t xml:space="preserve"> (1000-1500 </w:t>
      </w:r>
      <w:proofErr w:type="spellStart"/>
      <w:r>
        <w:rPr>
          <w:color w:val="000000"/>
        </w:rPr>
        <w:t>words</w:t>
      </w:r>
      <w:proofErr w:type="spellEnd"/>
      <w:r>
        <w:rPr>
          <w:color w:val="000000"/>
        </w:rPr>
        <w:t xml:space="preserve">) in </w:t>
      </w:r>
      <w:proofErr w:type="spellStart"/>
      <w:r>
        <w:rPr>
          <w:color w:val="000000"/>
        </w:rPr>
        <w:t>length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references</w:t>
      </w:r>
      <w:proofErr w:type="spellEnd"/>
      <w:r>
        <w:rPr>
          <w:color w:val="000000"/>
        </w:rPr>
        <w:t xml:space="preserve">) to be </w:t>
      </w:r>
      <w:proofErr w:type="spellStart"/>
      <w:r>
        <w:rPr>
          <w:color w:val="000000"/>
        </w:rPr>
        <w:t>included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proceedings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ICLIM 20</w:t>
      </w:r>
      <w:r w:rsidR="000D1D96">
        <w:rPr>
          <w:color w:val="000000"/>
        </w:rPr>
        <w:t>20</w:t>
      </w:r>
      <w:r>
        <w:rPr>
          <w:color w:val="000000"/>
        </w:rPr>
        <w:t xml:space="preserve">. </w:t>
      </w:r>
      <w:bookmarkStart w:id="0" w:name="_GoBack"/>
      <w:bookmarkEnd w:id="0"/>
    </w:p>
    <w:p w:rsidR="00E61A19" w:rsidRDefault="00E61A19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</w:p>
    <w:p w:rsidR="00E61A19" w:rsidRDefault="00E306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title</w:t>
      </w:r>
      <w:proofErr w:type="spellEnd"/>
      <w:r>
        <w:rPr>
          <w:color w:val="000000"/>
        </w:rPr>
        <w:t xml:space="preserve"> (14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bold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authors</w:t>
      </w:r>
      <w:proofErr w:type="spellEnd"/>
      <w:r>
        <w:rPr>
          <w:color w:val="000000"/>
        </w:rPr>
        <w:t xml:space="preserve">’ </w:t>
      </w:r>
      <w:proofErr w:type="spellStart"/>
      <w:r>
        <w:rPr>
          <w:color w:val="000000"/>
        </w:rPr>
        <w:t>names</w:t>
      </w:r>
      <w:proofErr w:type="spellEnd"/>
      <w:r>
        <w:rPr>
          <w:color w:val="000000"/>
        </w:rPr>
        <w:t xml:space="preserve"> (12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), and </w:t>
      </w:r>
      <w:proofErr w:type="spellStart"/>
      <w:r>
        <w:rPr>
          <w:color w:val="000000"/>
        </w:rPr>
        <w:t>affiliations</w:t>
      </w:r>
      <w:proofErr w:type="spellEnd"/>
      <w:r>
        <w:rPr>
          <w:color w:val="000000"/>
        </w:rPr>
        <w:t xml:space="preserve"> (10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set </w:t>
      </w:r>
      <w:proofErr w:type="spellStart"/>
      <w:r>
        <w:rPr>
          <w:color w:val="000000"/>
        </w:rPr>
        <w:t>flush</w:t>
      </w:r>
      <w:proofErr w:type="spellEnd"/>
      <w:r>
        <w:rPr>
          <w:color w:val="000000"/>
        </w:rPr>
        <w:t xml:space="preserve">-centre.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blank</w:t>
      </w:r>
      <w:proofErr w:type="spellEnd"/>
      <w:r>
        <w:rPr>
          <w:color w:val="000000"/>
        </w:rPr>
        <w:t xml:space="preserve"> line (12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title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authors</w:t>
      </w:r>
      <w:proofErr w:type="spellEnd"/>
      <w:r>
        <w:rPr>
          <w:color w:val="000000"/>
        </w:rPr>
        <w:t>.</w:t>
      </w:r>
    </w:p>
    <w:p w:rsidR="00E61A19" w:rsidRDefault="00E61A1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1A19" w:rsidRDefault="00E306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abstracts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written</w:t>
      </w:r>
      <w:proofErr w:type="spellEnd"/>
      <w:r>
        <w:rPr>
          <w:color w:val="000000"/>
        </w:rPr>
        <w:t xml:space="preserve"> in English. In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achieve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graphical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consistency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extended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written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Microsoft Word. 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A4 </w:t>
      </w:r>
      <w:proofErr w:type="spellStart"/>
      <w:r>
        <w:rPr>
          <w:color w:val="000000"/>
        </w:rPr>
        <w:t>size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margin</w:t>
      </w:r>
      <w:proofErr w:type="spellEnd"/>
      <w:r>
        <w:rPr>
          <w:color w:val="000000"/>
        </w:rPr>
        <w:t xml:space="preserve"> 1.5 cm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t>sides</w:t>
      </w:r>
      <w:proofErr w:type="spellEnd"/>
      <w:r>
        <w:rPr>
          <w:color w:val="000000"/>
        </w:rPr>
        <w:t xml:space="preserve"> in MS Word </w:t>
      </w:r>
      <w:proofErr w:type="spellStart"/>
      <w:r>
        <w:rPr>
          <w:color w:val="000000"/>
        </w:rPr>
        <w:t>format</w:t>
      </w:r>
      <w:proofErr w:type="spellEnd"/>
      <w:r>
        <w:rPr>
          <w:color w:val="000000"/>
        </w:rPr>
        <w:t xml:space="preserve"> in 12 </w:t>
      </w:r>
      <w:proofErr w:type="spellStart"/>
      <w:r>
        <w:rPr>
          <w:color w:val="000000"/>
        </w:rPr>
        <w:t>points</w:t>
      </w:r>
      <w:proofErr w:type="spellEnd"/>
      <w:r>
        <w:rPr>
          <w:color w:val="000000"/>
        </w:rPr>
        <w:t xml:space="preserve"> New Times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type</w:t>
      </w:r>
      <w:proofErr w:type="spellEnd"/>
      <w:r>
        <w:rPr>
          <w:color w:val="000000"/>
        </w:rPr>
        <w:t xml:space="preserve"> single line </w:t>
      </w:r>
      <w:proofErr w:type="spellStart"/>
      <w:r>
        <w:rPr>
          <w:color w:val="000000"/>
        </w:rPr>
        <w:t>spacing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Length</w:t>
      </w:r>
      <w:proofErr w:type="spellEnd"/>
      <w:r>
        <w:rPr>
          <w:b/>
          <w:color w:val="000000"/>
        </w:rPr>
        <w:t xml:space="preserve"> of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Extended </w:t>
      </w:r>
      <w:proofErr w:type="spellStart"/>
      <w:r>
        <w:rPr>
          <w:b/>
          <w:color w:val="000000"/>
        </w:rPr>
        <w:t>Abstract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should</w:t>
      </w:r>
      <w:proofErr w:type="spellEnd"/>
      <w:r>
        <w:rPr>
          <w:b/>
          <w:color w:val="000000"/>
        </w:rPr>
        <w:t xml:space="preserve"> be min 2 and </w:t>
      </w:r>
      <w:proofErr w:type="spellStart"/>
      <w:r>
        <w:rPr>
          <w:b/>
          <w:color w:val="000000"/>
        </w:rPr>
        <w:t>max</w:t>
      </w:r>
      <w:proofErr w:type="spellEnd"/>
      <w:r>
        <w:rPr>
          <w:b/>
          <w:color w:val="000000"/>
        </w:rPr>
        <w:t xml:space="preserve"> 3 </w:t>
      </w:r>
      <w:proofErr w:type="spellStart"/>
      <w:r>
        <w:rPr>
          <w:b/>
          <w:color w:val="000000"/>
        </w:rPr>
        <w:t>pages</w:t>
      </w:r>
      <w:proofErr w:type="spellEnd"/>
      <w:r>
        <w:rPr>
          <w:b/>
          <w:color w:val="000000"/>
        </w:rPr>
        <w:t xml:space="preserve"> (1000-1500 </w:t>
      </w:r>
      <w:proofErr w:type="spellStart"/>
      <w:r>
        <w:rPr>
          <w:b/>
          <w:color w:val="000000"/>
        </w:rPr>
        <w:t>words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excluding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references</w:t>
      </w:r>
      <w:proofErr w:type="spellEnd"/>
      <w:r>
        <w:rPr>
          <w:b/>
          <w:color w:val="000000"/>
        </w:rPr>
        <w:t>.</w:t>
      </w:r>
    </w:p>
    <w:p w:rsidR="00E61A19" w:rsidRDefault="00E61A1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1A19" w:rsidRDefault="00E306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itself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justified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extended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sections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Should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include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Introduction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Objectives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Methodology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Results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Discussion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Conclusion</w:t>
      </w:r>
      <w:proofErr w:type="spellEnd"/>
      <w:r>
        <w:rPr>
          <w:b/>
          <w:color w:val="000000"/>
        </w:rPr>
        <w:t xml:space="preserve">, and </w:t>
      </w:r>
      <w:proofErr w:type="spellStart"/>
      <w:r>
        <w:rPr>
          <w:b/>
          <w:color w:val="000000"/>
        </w:rPr>
        <w:t>Recommendations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with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related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references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headline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written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Times New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font</w:t>
      </w:r>
      <w:proofErr w:type="spellEnd"/>
      <w:r>
        <w:rPr>
          <w:color w:val="000000"/>
        </w:rPr>
        <w:t xml:space="preserve">, 12 </w:t>
      </w:r>
      <w:proofErr w:type="spellStart"/>
      <w:r>
        <w:rPr>
          <w:color w:val="000000"/>
        </w:rPr>
        <w:t>font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size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bold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caps. </w:t>
      </w:r>
      <w:proofErr w:type="spellStart"/>
      <w:r>
        <w:rPr>
          <w:color w:val="000000"/>
        </w:rPr>
        <w:t>These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sections</w:t>
      </w:r>
      <w:proofErr w:type="spellEnd"/>
      <w:r>
        <w:rPr>
          <w:color w:val="000000"/>
        </w:rPr>
        <w:t xml:space="preserve"> can be </w:t>
      </w:r>
      <w:proofErr w:type="spellStart"/>
      <w:r>
        <w:rPr>
          <w:color w:val="000000"/>
        </w:rPr>
        <w:t>named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differently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subsections</w:t>
      </w:r>
      <w:proofErr w:type="spellEnd"/>
      <w:r>
        <w:rPr>
          <w:color w:val="000000"/>
        </w:rPr>
        <w:t xml:space="preserve"> can be </w:t>
      </w:r>
      <w:proofErr w:type="spellStart"/>
      <w:r>
        <w:rPr>
          <w:color w:val="000000"/>
        </w:rPr>
        <w:t>included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extended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can </w:t>
      </w:r>
      <w:proofErr w:type="spellStart"/>
      <w:r>
        <w:rPr>
          <w:color w:val="000000"/>
        </w:rPr>
        <w:t>contain</w:t>
      </w:r>
      <w:proofErr w:type="spellEnd"/>
      <w:r>
        <w:rPr>
          <w:color w:val="000000"/>
        </w:rPr>
        <w:t xml:space="preserve"> figures, </w:t>
      </w:r>
      <w:proofErr w:type="spellStart"/>
      <w:r>
        <w:rPr>
          <w:color w:val="000000"/>
        </w:rPr>
        <w:t>tables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images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Pages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numbered</w:t>
      </w:r>
      <w:proofErr w:type="spellEnd"/>
      <w:r>
        <w:rPr>
          <w:color w:val="000000"/>
        </w:rPr>
        <w:t>.</w:t>
      </w:r>
    </w:p>
    <w:p w:rsidR="00E61A19" w:rsidRDefault="00E61A1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1A19" w:rsidRDefault="00E306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_heading=h.gjdgxs" w:colFirst="0" w:colLast="0"/>
      <w:bookmarkEnd w:id="1"/>
      <w:proofErr w:type="spellStart"/>
      <w:r>
        <w:rPr>
          <w:color w:val="000000"/>
        </w:rPr>
        <w:t>Authors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requested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submit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Abstracts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via</w:t>
      </w:r>
      <w:proofErr w:type="spellEnd"/>
      <w:r>
        <w:rPr>
          <w:color w:val="000000"/>
        </w:rPr>
        <w:t xml:space="preserve"> </w:t>
      </w:r>
      <w:proofErr w:type="spellStart"/>
      <w:r w:rsidR="00BB3DE3">
        <w:rPr>
          <w:color w:val="000000"/>
        </w:rPr>
        <w:t>duly</w:t>
      </w:r>
      <w:proofErr w:type="spellEnd"/>
      <w:r w:rsidR="00BB3DE3">
        <w:rPr>
          <w:color w:val="000000"/>
        </w:rPr>
        <w:t xml:space="preserve"> </w:t>
      </w:r>
      <w:proofErr w:type="spellStart"/>
      <w:r w:rsidR="00BB3DE3">
        <w:rPr>
          <w:color w:val="000000"/>
        </w:rPr>
        <w:t>filled</w:t>
      </w:r>
      <w:proofErr w:type="spellEnd"/>
      <w:r w:rsidR="00BB3DE3">
        <w:rPr>
          <w:color w:val="000000"/>
        </w:rPr>
        <w:t xml:space="preserve"> </w:t>
      </w:r>
      <w:proofErr w:type="spellStart"/>
      <w:r w:rsidR="00BB3DE3">
        <w:rPr>
          <w:color w:val="000000"/>
        </w:rPr>
        <w:t>submission</w:t>
      </w:r>
      <w:proofErr w:type="spellEnd"/>
      <w:r w:rsidR="00BB3DE3">
        <w:rPr>
          <w:color w:val="000000"/>
        </w:rPr>
        <w:t xml:space="preserve"> </w:t>
      </w:r>
      <w:proofErr w:type="spellStart"/>
      <w:r w:rsidR="00BB3DE3">
        <w:rPr>
          <w:color w:val="000000"/>
        </w:rPr>
        <w:t>form</w:t>
      </w:r>
      <w:proofErr w:type="spellEnd"/>
      <w:r w:rsidR="000D1D96">
        <w:rPr>
          <w:color w:val="000000"/>
        </w:rPr>
        <w:t xml:space="preserve">. </w:t>
      </w:r>
      <w:proofErr w:type="spellStart"/>
      <w:r>
        <w:rPr>
          <w:color w:val="000000"/>
        </w:rPr>
        <w:t>Accepted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formats</w:t>
      </w:r>
      <w:proofErr w:type="spellEnd"/>
      <w:r>
        <w:rPr>
          <w:color w:val="000000"/>
        </w:rPr>
        <w:t xml:space="preserve"> </w:t>
      </w:r>
      <w:proofErr w:type="spellStart"/>
      <w:r w:rsidR="000D1D96">
        <w:t>is</w:t>
      </w:r>
      <w:proofErr w:type="spellEnd"/>
      <w:r>
        <w:t xml:space="preserve"> MS</w:t>
      </w:r>
      <w:r>
        <w:rPr>
          <w:color w:val="000000"/>
        </w:rPr>
        <w:t xml:space="preserve"> Word. </w:t>
      </w:r>
    </w:p>
    <w:p w:rsidR="00E61A19" w:rsidRDefault="00E61A1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1A19" w:rsidRDefault="00E306C6">
      <w:pPr>
        <w:jc w:val="both"/>
      </w:pPr>
      <w:proofErr w:type="spellStart"/>
      <w:r>
        <w:t>Supporting</w:t>
      </w:r>
      <w:proofErr w:type="spellEnd"/>
      <w:r>
        <w:t xml:space="preserve"> figures, </w:t>
      </w:r>
      <w:proofErr w:type="spellStart"/>
      <w:r>
        <w:t>tables</w:t>
      </w:r>
      <w:proofErr w:type="spellEnd"/>
      <w:r>
        <w:t xml:space="preserve"> and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, </w:t>
      </w:r>
      <w:proofErr w:type="spellStart"/>
      <w:r>
        <w:t>images</w:t>
      </w:r>
      <w:proofErr w:type="spellEnd"/>
      <w:r>
        <w:t xml:space="preserve"> and figures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centered</w:t>
      </w:r>
      <w:proofErr w:type="spellEnd"/>
      <w:r>
        <w:t xml:space="preserve">. Figures and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numbered</w:t>
      </w:r>
      <w:proofErr w:type="spellEnd"/>
      <w:r>
        <w:t xml:space="preserve"> and figure </w:t>
      </w:r>
      <w:proofErr w:type="spellStart"/>
      <w:r>
        <w:t>captions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placed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figure </w:t>
      </w:r>
      <w:proofErr w:type="spellStart"/>
      <w:r>
        <w:t>or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Figure 1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numbered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caption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placed at </w:t>
      </w:r>
      <w:proofErr w:type="spellStart"/>
      <w:r>
        <w:t>the</w:t>
      </w:r>
      <w:proofErr w:type="spellEnd"/>
      <w:r>
        <w:t xml:space="preserve"> top.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1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. </w:t>
      </w:r>
    </w:p>
    <w:p w:rsidR="00E61A19" w:rsidRDefault="00E61A1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1A19" w:rsidRDefault="00E61A1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1A19" w:rsidRDefault="00E306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w:lastRenderedPageBreak/>
        <w:drawing>
          <wp:inline distT="0" distB="0" distL="0" distR="0">
            <wp:extent cx="3009900" cy="184785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1A19" w:rsidRDefault="00E61A1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1A19" w:rsidRDefault="00E306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noProof/>
          <w:color w:val="000000"/>
          <w:lang w:val="en-US" w:eastAsia="en-US"/>
        </w:rPr>
        <w:drawing>
          <wp:inline distT="0" distB="0" distL="0" distR="0">
            <wp:extent cx="4924425" cy="1447800"/>
            <wp:effectExtent l="9525" t="9525" r="9525" b="9525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447800"/>
                    </a:xfrm>
                    <a:prstGeom prst="rect">
                      <a:avLst/>
                    </a:prstGeom>
                    <a:ln w="9525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61A19" w:rsidRDefault="00E306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Figure 1.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Example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graph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extended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>.</w:t>
      </w:r>
    </w:p>
    <w:p w:rsidR="00E61A19" w:rsidRDefault="00E61A19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</w:p>
    <w:p w:rsidR="00E61A19" w:rsidRDefault="00E61A19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</w:p>
    <w:p w:rsidR="00E61A19" w:rsidRDefault="00E61A19">
      <w:pPr>
        <w:jc w:val="both"/>
      </w:pPr>
    </w:p>
    <w:p w:rsidR="00E61A19" w:rsidRDefault="00E306C6">
      <w:pPr>
        <w:pStyle w:val="Heading1"/>
        <w:jc w:val="both"/>
        <w:rPr>
          <w:sz w:val="24"/>
        </w:rPr>
      </w:pPr>
      <w:r>
        <w:rPr>
          <w:sz w:val="24"/>
        </w:rPr>
        <w:t>REFERENCES</w:t>
      </w:r>
    </w:p>
    <w:p w:rsidR="00E61A19" w:rsidRDefault="00E306C6">
      <w:proofErr w:type="spellStart"/>
      <w:r>
        <w:t>References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(</w:t>
      </w:r>
      <w:proofErr w:type="spellStart"/>
      <w:r>
        <w:t>Auhtors</w:t>
      </w:r>
      <w:proofErr w:type="spellEnd"/>
      <w:r>
        <w:t xml:space="preserve">, </w:t>
      </w:r>
      <w:proofErr w:type="spellStart"/>
      <w:r>
        <w:t>Year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full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</w:t>
      </w:r>
      <w:r w:rsidR="0080589C">
        <w:t xml:space="preserve"> </w:t>
      </w:r>
      <w:proofErr w:type="spellStart"/>
      <w:r w:rsidR="0080589C">
        <w:t>prepared</w:t>
      </w:r>
      <w:proofErr w:type="spellEnd"/>
      <w:r w:rsidR="0080589C">
        <w:t xml:space="preserve"> in </w:t>
      </w:r>
      <w:proofErr w:type="spellStart"/>
      <w:r w:rsidR="0080589C">
        <w:t>the</w:t>
      </w:r>
      <w:proofErr w:type="spellEnd"/>
      <w:r w:rsidR="0080589C">
        <w:t xml:space="preserve"> </w:t>
      </w:r>
      <w:proofErr w:type="spellStart"/>
      <w:r w:rsidR="0080589C">
        <w:t>format</w:t>
      </w:r>
      <w:proofErr w:type="spellEnd"/>
      <w:r w:rsidR="0080589C">
        <w:t xml:space="preserve"> of APA 7th a</w:t>
      </w:r>
      <w:r>
        <w:t xml:space="preserve">s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:rsidR="00E61A19" w:rsidRDefault="00E61A19">
      <w:pPr>
        <w:jc w:val="both"/>
      </w:pPr>
    </w:p>
    <w:p w:rsidR="0080589C" w:rsidRDefault="0080589C" w:rsidP="007A0894">
      <w:pPr>
        <w:spacing w:before="120"/>
        <w:jc w:val="both"/>
        <w:rPr>
          <w:color w:val="000000" w:themeColor="text1"/>
        </w:rPr>
      </w:pPr>
      <w:proofErr w:type="spellStart"/>
      <w:r w:rsidRPr="0080589C">
        <w:rPr>
          <w:color w:val="000000" w:themeColor="text1"/>
          <w:shd w:val="clear" w:color="auto" w:fill="FFFFFF"/>
        </w:rPr>
        <w:t>Australian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color w:val="000000" w:themeColor="text1"/>
          <w:shd w:val="clear" w:color="auto" w:fill="FFFFFF"/>
        </w:rPr>
        <w:t>Institute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of </w:t>
      </w:r>
      <w:proofErr w:type="spellStart"/>
      <w:r w:rsidRPr="0080589C">
        <w:rPr>
          <w:color w:val="000000" w:themeColor="text1"/>
          <w:shd w:val="clear" w:color="auto" w:fill="FFFFFF"/>
        </w:rPr>
        <w:t>Health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and </w:t>
      </w:r>
      <w:proofErr w:type="spellStart"/>
      <w:r w:rsidRPr="0080589C">
        <w:rPr>
          <w:color w:val="000000" w:themeColor="text1"/>
          <w:shd w:val="clear" w:color="auto" w:fill="FFFFFF"/>
        </w:rPr>
        <w:t>Welfare</w:t>
      </w:r>
      <w:proofErr w:type="spellEnd"/>
      <w:r w:rsidRPr="0080589C">
        <w:rPr>
          <w:color w:val="000000" w:themeColor="text1"/>
          <w:shd w:val="clear" w:color="auto" w:fill="FFFFFF"/>
        </w:rPr>
        <w:t>. (2018, June 20). 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Australia's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health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2018</w:t>
      </w:r>
      <w:r w:rsidRPr="0080589C">
        <w:rPr>
          <w:color w:val="000000" w:themeColor="text1"/>
          <w:shd w:val="clear" w:color="auto" w:fill="FFFFFF"/>
        </w:rPr>
        <w:t> (</w:t>
      </w:r>
      <w:proofErr w:type="spellStart"/>
      <w:r w:rsidRPr="0080589C">
        <w:rPr>
          <w:color w:val="000000" w:themeColor="text1"/>
          <w:shd w:val="clear" w:color="auto" w:fill="FFFFFF"/>
        </w:rPr>
        <w:t>Report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No. 16, </w:t>
      </w:r>
      <w:proofErr w:type="spellStart"/>
      <w:r w:rsidRPr="0080589C">
        <w:rPr>
          <w:color w:val="000000" w:themeColor="text1"/>
          <w:shd w:val="clear" w:color="auto" w:fill="FFFFFF"/>
        </w:rPr>
        <w:t>Aus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221). </w:t>
      </w:r>
      <w:proofErr w:type="spellStart"/>
      <w:r w:rsidRPr="0080589C">
        <w:rPr>
          <w:color w:val="000000" w:themeColor="text1"/>
          <w:shd w:val="clear" w:color="auto" w:fill="FFFFFF"/>
        </w:rPr>
        <w:t>Australian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color w:val="000000" w:themeColor="text1"/>
          <w:shd w:val="clear" w:color="auto" w:fill="FFFFFF"/>
        </w:rPr>
        <w:t>Government</w:t>
      </w:r>
      <w:proofErr w:type="spellEnd"/>
      <w:r w:rsidRPr="0080589C">
        <w:rPr>
          <w:color w:val="000000" w:themeColor="text1"/>
          <w:shd w:val="clear" w:color="auto" w:fill="FFFFFF"/>
        </w:rPr>
        <w:t>. </w:t>
      </w:r>
      <w:hyperlink r:id="rId11" w:history="1">
        <w:r w:rsidRPr="0080589C">
          <w:rPr>
            <w:rStyle w:val="Hyperlink"/>
            <w:color w:val="000000" w:themeColor="text1"/>
            <w:shd w:val="clear" w:color="auto" w:fill="FFFFFF"/>
          </w:rPr>
          <w:t>https://www.aihw.gov.au/getmedia/7c42913d-295f-4bc9-9c24-4e44eff4a04a/aihw-aus-221.pdf.aspx?inline=true</w:t>
        </w:r>
      </w:hyperlink>
    </w:p>
    <w:p w:rsidR="0080589C" w:rsidRDefault="0080589C" w:rsidP="007A0894">
      <w:pPr>
        <w:spacing w:before="120"/>
        <w:jc w:val="both"/>
        <w:rPr>
          <w:color w:val="000000" w:themeColor="text1"/>
        </w:rPr>
      </w:pPr>
      <w:r w:rsidRPr="0080589C">
        <w:rPr>
          <w:color w:val="000000" w:themeColor="text1"/>
          <w:shd w:val="clear" w:color="auto" w:fill="FFFFFF"/>
        </w:rPr>
        <w:t xml:space="preserve">James Cook </w:t>
      </w:r>
      <w:proofErr w:type="spellStart"/>
      <w:r w:rsidRPr="0080589C">
        <w:rPr>
          <w:color w:val="000000" w:themeColor="text1"/>
          <w:shd w:val="clear" w:color="auto" w:fill="FFFFFF"/>
        </w:rPr>
        <w:t>University</w:t>
      </w:r>
      <w:proofErr w:type="spellEnd"/>
      <w:r w:rsidRPr="0080589C">
        <w:rPr>
          <w:color w:val="000000" w:themeColor="text1"/>
          <w:shd w:val="clear" w:color="auto" w:fill="FFFFFF"/>
        </w:rPr>
        <w:t>. (2021). 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Borrow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and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renew</w:t>
      </w:r>
      <w:proofErr w:type="spellEnd"/>
      <w:r w:rsidRPr="0080589C">
        <w:rPr>
          <w:color w:val="000000" w:themeColor="text1"/>
          <w:shd w:val="clear" w:color="auto" w:fill="FFFFFF"/>
        </w:rPr>
        <w:t>. </w:t>
      </w:r>
      <w:hyperlink r:id="rId12" w:history="1">
        <w:r w:rsidRPr="0080589C">
          <w:rPr>
            <w:rStyle w:val="Hyperlink"/>
            <w:color w:val="000000" w:themeColor="text1"/>
            <w:shd w:val="clear" w:color="auto" w:fill="FFFFFF"/>
          </w:rPr>
          <w:t>https://www.jcu.edu.au/library/loans</w:t>
        </w:r>
      </w:hyperlink>
    </w:p>
    <w:p w:rsidR="0080589C" w:rsidRPr="0080589C" w:rsidRDefault="0080589C" w:rsidP="007A0894">
      <w:pPr>
        <w:spacing w:before="120"/>
        <w:jc w:val="both"/>
        <w:rPr>
          <w:color w:val="000000" w:themeColor="text1"/>
        </w:rPr>
      </w:pPr>
      <w:r w:rsidRPr="0080589C">
        <w:rPr>
          <w:color w:val="000000" w:themeColor="text1"/>
          <w:shd w:val="clear" w:color="auto" w:fill="FFFFFF"/>
        </w:rPr>
        <w:t xml:space="preserve">Morgan, R., </w:t>
      </w:r>
      <w:proofErr w:type="spellStart"/>
      <w:r w:rsidRPr="0080589C">
        <w:rPr>
          <w:color w:val="000000" w:themeColor="text1"/>
          <w:shd w:val="clear" w:color="auto" w:fill="FFFFFF"/>
        </w:rPr>
        <w:t>Meldrum</w:t>
      </w:r>
      <w:proofErr w:type="spellEnd"/>
      <w:r w:rsidRPr="0080589C">
        <w:rPr>
          <w:color w:val="000000" w:themeColor="text1"/>
          <w:shd w:val="clear" w:color="auto" w:fill="FFFFFF"/>
        </w:rPr>
        <w:t xml:space="preserve">, K., Bryan, S., </w:t>
      </w:r>
      <w:proofErr w:type="spellStart"/>
      <w:r w:rsidRPr="0080589C">
        <w:rPr>
          <w:color w:val="000000" w:themeColor="text1"/>
          <w:shd w:val="clear" w:color="auto" w:fill="FFFFFF"/>
        </w:rPr>
        <w:t>Mathiesen</w:t>
      </w:r>
      <w:proofErr w:type="spellEnd"/>
      <w:r w:rsidRPr="0080589C">
        <w:rPr>
          <w:color w:val="000000" w:themeColor="text1"/>
          <w:shd w:val="clear" w:color="auto" w:fill="FFFFFF"/>
        </w:rPr>
        <w:t xml:space="preserve">, B., </w:t>
      </w:r>
      <w:proofErr w:type="spellStart"/>
      <w:r w:rsidRPr="0080589C">
        <w:rPr>
          <w:color w:val="000000" w:themeColor="text1"/>
          <w:shd w:val="clear" w:color="auto" w:fill="FFFFFF"/>
        </w:rPr>
        <w:t>Yakob</w:t>
      </w:r>
      <w:proofErr w:type="spellEnd"/>
      <w:r w:rsidRPr="0080589C">
        <w:rPr>
          <w:color w:val="000000" w:themeColor="text1"/>
          <w:shd w:val="clear" w:color="auto" w:fill="FFFFFF"/>
        </w:rPr>
        <w:t xml:space="preserve">, N., Esa, N., &amp; </w:t>
      </w:r>
      <w:proofErr w:type="spellStart"/>
      <w:r w:rsidRPr="0080589C">
        <w:rPr>
          <w:color w:val="000000" w:themeColor="text1"/>
          <w:shd w:val="clear" w:color="auto" w:fill="FFFFFF"/>
        </w:rPr>
        <w:t>Ziden</w:t>
      </w:r>
      <w:proofErr w:type="spellEnd"/>
      <w:r w:rsidRPr="0080589C">
        <w:rPr>
          <w:color w:val="000000" w:themeColor="text1"/>
          <w:shd w:val="clear" w:color="auto" w:fill="FFFFFF"/>
        </w:rPr>
        <w:t xml:space="preserve">, A. A. (2017). </w:t>
      </w:r>
      <w:proofErr w:type="spellStart"/>
      <w:r w:rsidRPr="0080589C">
        <w:rPr>
          <w:color w:val="000000" w:themeColor="text1"/>
          <w:shd w:val="clear" w:color="auto" w:fill="FFFFFF"/>
        </w:rPr>
        <w:t>Embedding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digital </w:t>
      </w:r>
      <w:proofErr w:type="spellStart"/>
      <w:r w:rsidRPr="0080589C">
        <w:rPr>
          <w:color w:val="000000" w:themeColor="text1"/>
          <w:shd w:val="clear" w:color="auto" w:fill="FFFFFF"/>
        </w:rPr>
        <w:t>literacies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in </w:t>
      </w:r>
      <w:proofErr w:type="spellStart"/>
      <w:r w:rsidRPr="0080589C">
        <w:rPr>
          <w:color w:val="000000" w:themeColor="text1"/>
          <w:shd w:val="clear" w:color="auto" w:fill="FFFFFF"/>
        </w:rPr>
        <w:t>curricula</w:t>
      </w:r>
      <w:proofErr w:type="spellEnd"/>
      <w:r w:rsidRPr="0080589C">
        <w:rPr>
          <w:color w:val="000000" w:themeColor="text1"/>
          <w:shd w:val="clear" w:color="auto" w:fill="FFFFFF"/>
        </w:rPr>
        <w:t xml:space="preserve">: </w:t>
      </w:r>
      <w:proofErr w:type="spellStart"/>
      <w:r w:rsidRPr="0080589C">
        <w:rPr>
          <w:color w:val="000000" w:themeColor="text1"/>
          <w:shd w:val="clear" w:color="auto" w:fill="FFFFFF"/>
        </w:rPr>
        <w:t>Australian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and </w:t>
      </w:r>
      <w:proofErr w:type="spellStart"/>
      <w:r w:rsidRPr="0080589C">
        <w:rPr>
          <w:color w:val="000000" w:themeColor="text1"/>
          <w:shd w:val="clear" w:color="auto" w:fill="FFFFFF"/>
        </w:rPr>
        <w:t>Malaysian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color w:val="000000" w:themeColor="text1"/>
          <w:shd w:val="clear" w:color="auto" w:fill="FFFFFF"/>
        </w:rPr>
        <w:t>experiences</w:t>
      </w:r>
      <w:proofErr w:type="spellEnd"/>
      <w:r w:rsidRPr="0080589C">
        <w:rPr>
          <w:color w:val="000000" w:themeColor="text1"/>
          <w:shd w:val="clear" w:color="auto" w:fill="FFFFFF"/>
        </w:rPr>
        <w:t xml:space="preserve">. In G. B. </w:t>
      </w:r>
      <w:proofErr w:type="spellStart"/>
      <w:r w:rsidRPr="0080589C">
        <w:rPr>
          <w:color w:val="000000" w:themeColor="text1"/>
          <w:shd w:val="clear" w:color="auto" w:fill="FFFFFF"/>
        </w:rPr>
        <w:t>Teh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&amp; S. C. </w:t>
      </w:r>
      <w:proofErr w:type="spellStart"/>
      <w:r w:rsidRPr="0080589C">
        <w:rPr>
          <w:color w:val="000000" w:themeColor="text1"/>
          <w:shd w:val="clear" w:color="auto" w:fill="FFFFFF"/>
        </w:rPr>
        <w:t>Choy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(Eds.),</w:t>
      </w:r>
      <w:r w:rsidRPr="0080589C">
        <w:rPr>
          <w:rStyle w:val="Emphasis"/>
          <w:color w:val="000000" w:themeColor="text1"/>
          <w:shd w:val="clear" w:color="auto" w:fill="FFFFFF"/>
        </w:rPr>
        <w:t> 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Empowering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21st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century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learners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through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holistic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and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enterprising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learning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: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Selected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papers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from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Tunku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Abdul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Rahman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University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College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International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Conference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2016</w:t>
      </w:r>
      <w:r w:rsidRPr="0080589C">
        <w:rPr>
          <w:color w:val="000000" w:themeColor="text1"/>
          <w:shd w:val="clear" w:color="auto" w:fill="FFFFFF"/>
        </w:rPr>
        <w:t xml:space="preserve"> (pp. 11-19). </w:t>
      </w:r>
      <w:proofErr w:type="spellStart"/>
      <w:r w:rsidRPr="0080589C">
        <w:rPr>
          <w:color w:val="000000" w:themeColor="text1"/>
          <w:shd w:val="clear" w:color="auto" w:fill="FFFFFF"/>
        </w:rPr>
        <w:t>Springer</w:t>
      </w:r>
      <w:proofErr w:type="spellEnd"/>
      <w:r w:rsidRPr="0080589C">
        <w:rPr>
          <w:color w:val="000000" w:themeColor="text1"/>
          <w:shd w:val="clear" w:color="auto" w:fill="FFFFFF"/>
        </w:rPr>
        <w:t>. </w:t>
      </w:r>
      <w:hyperlink r:id="rId13" w:history="1">
        <w:r w:rsidRPr="0080589C">
          <w:rPr>
            <w:rStyle w:val="Hyperlink"/>
            <w:color w:val="000000" w:themeColor="text1"/>
            <w:shd w:val="clear" w:color="auto" w:fill="FFFFFF"/>
          </w:rPr>
          <w:t>https://doi.org/10.1007/978-981-10-4241-6_2</w:t>
        </w:r>
      </w:hyperlink>
    </w:p>
    <w:p w:rsidR="0080589C" w:rsidRPr="0080589C" w:rsidRDefault="0080589C" w:rsidP="007A0894">
      <w:pPr>
        <w:spacing w:before="120"/>
        <w:jc w:val="both"/>
        <w:rPr>
          <w:color w:val="000000" w:themeColor="text1"/>
        </w:rPr>
      </w:pPr>
      <w:r w:rsidRPr="0080589C">
        <w:rPr>
          <w:color w:val="000000" w:themeColor="text1"/>
          <w:shd w:val="clear" w:color="auto" w:fill="FFFFFF"/>
        </w:rPr>
        <w:t xml:space="preserve">Queensland </w:t>
      </w:r>
      <w:proofErr w:type="spellStart"/>
      <w:r w:rsidRPr="0080589C">
        <w:rPr>
          <w:color w:val="000000" w:themeColor="text1"/>
          <w:shd w:val="clear" w:color="auto" w:fill="FFFFFF"/>
        </w:rPr>
        <w:t>Health</w:t>
      </w:r>
      <w:proofErr w:type="spellEnd"/>
      <w:r w:rsidRPr="0080589C">
        <w:rPr>
          <w:color w:val="000000" w:themeColor="text1"/>
          <w:shd w:val="clear" w:color="auto" w:fill="FFFFFF"/>
        </w:rPr>
        <w:t xml:space="preserve">. (2016, </w:t>
      </w:r>
      <w:proofErr w:type="spellStart"/>
      <w:r w:rsidRPr="0080589C">
        <w:rPr>
          <w:color w:val="000000" w:themeColor="text1"/>
          <w:shd w:val="clear" w:color="auto" w:fill="FFFFFF"/>
        </w:rPr>
        <w:t>July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26). 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Food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safety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fact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sheet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51: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Food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allergies</w:t>
      </w:r>
      <w:proofErr w:type="spellEnd"/>
      <w:r w:rsidRPr="0080589C">
        <w:rPr>
          <w:color w:val="000000" w:themeColor="text1"/>
          <w:shd w:val="clear" w:color="auto" w:fill="FFFFFF"/>
        </w:rPr>
        <w:t xml:space="preserve">. Queensland </w:t>
      </w:r>
      <w:proofErr w:type="spellStart"/>
      <w:r w:rsidRPr="0080589C">
        <w:rPr>
          <w:color w:val="000000" w:themeColor="text1"/>
          <w:shd w:val="clear" w:color="auto" w:fill="FFFFFF"/>
        </w:rPr>
        <w:t>Government</w:t>
      </w:r>
      <w:proofErr w:type="spellEnd"/>
      <w:r w:rsidRPr="0080589C">
        <w:rPr>
          <w:color w:val="000000" w:themeColor="text1"/>
          <w:shd w:val="clear" w:color="auto" w:fill="FFFFFF"/>
        </w:rPr>
        <w:t>. </w:t>
      </w:r>
      <w:hyperlink r:id="rId14" w:history="1">
        <w:r w:rsidRPr="0080589C">
          <w:rPr>
            <w:rStyle w:val="Hyperlink"/>
            <w:color w:val="000000" w:themeColor="text1"/>
            <w:shd w:val="clear" w:color="auto" w:fill="FFFFFF"/>
          </w:rPr>
          <w:t>http://www.health.qld.gov.au/foodsafety/Documents/fs-51-allergies.pdf</w:t>
        </w:r>
      </w:hyperlink>
    </w:p>
    <w:p w:rsidR="00E61A19" w:rsidRPr="0080589C" w:rsidRDefault="0080589C" w:rsidP="007A0894">
      <w:pPr>
        <w:spacing w:before="120"/>
        <w:jc w:val="both"/>
        <w:rPr>
          <w:color w:val="000000" w:themeColor="text1"/>
          <w:shd w:val="clear" w:color="auto" w:fill="FFFFFF"/>
        </w:rPr>
      </w:pPr>
      <w:proofErr w:type="spellStart"/>
      <w:r w:rsidRPr="0080589C">
        <w:rPr>
          <w:color w:val="000000" w:themeColor="text1"/>
          <w:shd w:val="clear" w:color="auto" w:fill="FFFFFF"/>
        </w:rPr>
        <w:t>Oshima</w:t>
      </w:r>
      <w:proofErr w:type="spellEnd"/>
      <w:r w:rsidRPr="0080589C">
        <w:rPr>
          <w:color w:val="000000" w:themeColor="text1"/>
          <w:shd w:val="clear" w:color="auto" w:fill="FFFFFF"/>
        </w:rPr>
        <w:t xml:space="preserve">, A., &amp; </w:t>
      </w:r>
      <w:proofErr w:type="spellStart"/>
      <w:r w:rsidRPr="0080589C">
        <w:rPr>
          <w:color w:val="000000" w:themeColor="text1"/>
          <w:shd w:val="clear" w:color="auto" w:fill="FFFFFF"/>
        </w:rPr>
        <w:t>Hogue</w:t>
      </w:r>
      <w:proofErr w:type="spellEnd"/>
      <w:r w:rsidRPr="0080589C">
        <w:rPr>
          <w:color w:val="000000" w:themeColor="text1"/>
          <w:shd w:val="clear" w:color="auto" w:fill="FFFFFF"/>
        </w:rPr>
        <w:t>, A. (2007). 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Introduction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to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academic</w:t>
      </w:r>
      <w:proofErr w:type="spellEnd"/>
      <w:r w:rsidRPr="0080589C">
        <w:rPr>
          <w:rStyle w:val="Emphasis"/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rStyle w:val="Emphasis"/>
          <w:color w:val="000000" w:themeColor="text1"/>
          <w:shd w:val="clear" w:color="auto" w:fill="FFFFFF"/>
        </w:rPr>
        <w:t>writing</w:t>
      </w:r>
      <w:proofErr w:type="spellEnd"/>
      <w:r w:rsidRPr="0080589C">
        <w:rPr>
          <w:color w:val="000000" w:themeColor="text1"/>
          <w:shd w:val="clear" w:color="auto" w:fill="FFFFFF"/>
        </w:rPr>
        <w:t>. Pearson/</w:t>
      </w:r>
      <w:proofErr w:type="spellStart"/>
      <w:r w:rsidRPr="0080589C">
        <w:rPr>
          <w:color w:val="000000" w:themeColor="text1"/>
          <w:shd w:val="clear" w:color="auto" w:fill="FFFFFF"/>
        </w:rPr>
        <w:t>Longman</w:t>
      </w:r>
      <w:proofErr w:type="spellEnd"/>
      <w:r w:rsidRPr="0080589C">
        <w:rPr>
          <w:color w:val="000000" w:themeColor="text1"/>
          <w:shd w:val="clear" w:color="auto" w:fill="FFFFFF"/>
        </w:rPr>
        <w:t>.</w:t>
      </w:r>
    </w:p>
    <w:p w:rsidR="0080589C" w:rsidRPr="0080589C" w:rsidRDefault="0080589C" w:rsidP="007A0894">
      <w:pPr>
        <w:spacing w:before="120"/>
        <w:jc w:val="both"/>
        <w:rPr>
          <w:color w:val="000000" w:themeColor="text1"/>
        </w:rPr>
      </w:pPr>
      <w:r w:rsidRPr="0080589C">
        <w:rPr>
          <w:color w:val="000000" w:themeColor="text1"/>
          <w:shd w:val="clear" w:color="auto" w:fill="FFFFFF"/>
        </w:rPr>
        <w:t xml:space="preserve">Smith, R. P., </w:t>
      </w:r>
      <w:proofErr w:type="spellStart"/>
      <w:r w:rsidRPr="0080589C">
        <w:rPr>
          <w:color w:val="000000" w:themeColor="text1"/>
          <w:shd w:val="clear" w:color="auto" w:fill="FFFFFF"/>
        </w:rPr>
        <w:t>Easson</w:t>
      </w:r>
      <w:proofErr w:type="spellEnd"/>
      <w:r w:rsidRPr="0080589C">
        <w:rPr>
          <w:color w:val="000000" w:themeColor="text1"/>
          <w:shd w:val="clear" w:color="auto" w:fill="FFFFFF"/>
        </w:rPr>
        <w:t xml:space="preserve">, C., </w:t>
      </w:r>
      <w:proofErr w:type="spellStart"/>
      <w:r w:rsidRPr="0080589C">
        <w:rPr>
          <w:color w:val="000000" w:themeColor="text1"/>
          <w:shd w:val="clear" w:color="auto" w:fill="FFFFFF"/>
        </w:rPr>
        <w:t>Lyle</w:t>
      </w:r>
      <w:proofErr w:type="spellEnd"/>
      <w:r w:rsidRPr="0080589C">
        <w:rPr>
          <w:color w:val="000000" w:themeColor="text1"/>
          <w:shd w:val="clear" w:color="auto" w:fill="FFFFFF"/>
        </w:rPr>
        <w:t xml:space="preserve">, S. M., </w:t>
      </w:r>
      <w:proofErr w:type="spellStart"/>
      <w:r w:rsidRPr="0080589C">
        <w:rPr>
          <w:color w:val="000000" w:themeColor="text1"/>
          <w:shd w:val="clear" w:color="auto" w:fill="FFFFFF"/>
        </w:rPr>
        <w:t>Kapoor</w:t>
      </w:r>
      <w:proofErr w:type="spellEnd"/>
      <w:r w:rsidRPr="0080589C">
        <w:rPr>
          <w:color w:val="000000" w:themeColor="text1"/>
          <w:shd w:val="clear" w:color="auto" w:fill="FFFFFF"/>
        </w:rPr>
        <w:t xml:space="preserve">, R., </w:t>
      </w:r>
      <w:proofErr w:type="spellStart"/>
      <w:r w:rsidRPr="0080589C">
        <w:rPr>
          <w:color w:val="000000" w:themeColor="text1"/>
          <w:shd w:val="clear" w:color="auto" w:fill="FFFFFF"/>
        </w:rPr>
        <w:t>Donnelly</w:t>
      </w:r>
      <w:proofErr w:type="spellEnd"/>
      <w:r w:rsidRPr="0080589C">
        <w:rPr>
          <w:color w:val="000000" w:themeColor="text1"/>
          <w:shd w:val="clear" w:color="auto" w:fill="FFFFFF"/>
        </w:rPr>
        <w:t xml:space="preserve">, C. P., </w:t>
      </w:r>
      <w:proofErr w:type="spellStart"/>
      <w:r w:rsidRPr="0080589C">
        <w:rPr>
          <w:color w:val="000000" w:themeColor="text1"/>
          <w:shd w:val="clear" w:color="auto" w:fill="FFFFFF"/>
        </w:rPr>
        <w:t>Davidson</w:t>
      </w:r>
      <w:proofErr w:type="spellEnd"/>
      <w:r w:rsidRPr="0080589C">
        <w:rPr>
          <w:color w:val="000000" w:themeColor="text1"/>
          <w:shd w:val="clear" w:color="auto" w:fill="FFFFFF"/>
        </w:rPr>
        <w:t xml:space="preserve">, E. J., </w:t>
      </w:r>
      <w:proofErr w:type="spellStart"/>
      <w:r w:rsidRPr="0080589C">
        <w:rPr>
          <w:color w:val="000000" w:themeColor="text1"/>
          <w:shd w:val="clear" w:color="auto" w:fill="FFFFFF"/>
        </w:rPr>
        <w:t>Parikh</w:t>
      </w:r>
      <w:proofErr w:type="spellEnd"/>
      <w:r w:rsidRPr="0080589C">
        <w:rPr>
          <w:color w:val="000000" w:themeColor="text1"/>
          <w:shd w:val="clear" w:color="auto" w:fill="FFFFFF"/>
        </w:rPr>
        <w:t xml:space="preserve">, E., </w:t>
      </w:r>
      <w:proofErr w:type="spellStart"/>
      <w:r w:rsidRPr="0080589C">
        <w:rPr>
          <w:color w:val="000000" w:themeColor="text1"/>
          <w:shd w:val="clear" w:color="auto" w:fill="FFFFFF"/>
        </w:rPr>
        <w:t>Lopez</w:t>
      </w:r>
      <w:proofErr w:type="spellEnd"/>
      <w:r w:rsidRPr="0080589C">
        <w:rPr>
          <w:color w:val="000000" w:themeColor="text1"/>
          <w:shd w:val="clear" w:color="auto" w:fill="FFFFFF"/>
        </w:rPr>
        <w:t xml:space="preserve">, J. V., &amp; </w:t>
      </w:r>
      <w:proofErr w:type="spellStart"/>
      <w:r w:rsidRPr="0080589C">
        <w:rPr>
          <w:color w:val="000000" w:themeColor="text1"/>
          <w:shd w:val="clear" w:color="auto" w:fill="FFFFFF"/>
        </w:rPr>
        <w:t>Tartar</w:t>
      </w:r>
      <w:proofErr w:type="spellEnd"/>
      <w:r w:rsidRPr="0080589C">
        <w:rPr>
          <w:color w:val="000000" w:themeColor="text1"/>
          <w:shd w:val="clear" w:color="auto" w:fill="FFFFFF"/>
        </w:rPr>
        <w:t xml:space="preserve">, J. L. (2019). </w:t>
      </w:r>
      <w:proofErr w:type="spellStart"/>
      <w:r w:rsidRPr="0080589C">
        <w:rPr>
          <w:color w:val="000000" w:themeColor="text1"/>
          <w:shd w:val="clear" w:color="auto" w:fill="FFFFFF"/>
        </w:rPr>
        <w:t>Gut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color w:val="000000" w:themeColor="text1"/>
          <w:shd w:val="clear" w:color="auto" w:fill="FFFFFF"/>
        </w:rPr>
        <w:t>microbiome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color w:val="000000" w:themeColor="text1"/>
          <w:shd w:val="clear" w:color="auto" w:fill="FFFFFF"/>
        </w:rPr>
        <w:t>diversity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color w:val="000000" w:themeColor="text1"/>
          <w:shd w:val="clear" w:color="auto" w:fill="FFFFFF"/>
        </w:rPr>
        <w:t>is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color w:val="000000" w:themeColor="text1"/>
          <w:shd w:val="clear" w:color="auto" w:fill="FFFFFF"/>
        </w:rPr>
        <w:t>associated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color w:val="000000" w:themeColor="text1"/>
          <w:shd w:val="clear" w:color="auto" w:fill="FFFFFF"/>
        </w:rPr>
        <w:t>with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color w:val="000000" w:themeColor="text1"/>
          <w:shd w:val="clear" w:color="auto" w:fill="FFFFFF"/>
        </w:rPr>
        <w:t>sleep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</w:t>
      </w:r>
      <w:proofErr w:type="spellStart"/>
      <w:r w:rsidRPr="0080589C">
        <w:rPr>
          <w:color w:val="000000" w:themeColor="text1"/>
          <w:shd w:val="clear" w:color="auto" w:fill="FFFFFF"/>
        </w:rPr>
        <w:t>physiology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in </w:t>
      </w:r>
      <w:proofErr w:type="spellStart"/>
      <w:r w:rsidRPr="0080589C">
        <w:rPr>
          <w:color w:val="000000" w:themeColor="text1"/>
          <w:shd w:val="clear" w:color="auto" w:fill="FFFFFF"/>
        </w:rPr>
        <w:t>humans</w:t>
      </w:r>
      <w:proofErr w:type="spellEnd"/>
      <w:r w:rsidRPr="0080589C">
        <w:rPr>
          <w:color w:val="000000" w:themeColor="text1"/>
          <w:shd w:val="clear" w:color="auto" w:fill="FFFFFF"/>
        </w:rPr>
        <w:t>. </w:t>
      </w:r>
      <w:r w:rsidRPr="0080589C">
        <w:rPr>
          <w:rStyle w:val="Emphasis"/>
          <w:color w:val="000000" w:themeColor="text1"/>
          <w:shd w:val="clear" w:color="auto" w:fill="FFFFFF"/>
        </w:rPr>
        <w:t>PLOS ONE, 14</w:t>
      </w:r>
      <w:r w:rsidRPr="0080589C">
        <w:rPr>
          <w:color w:val="000000" w:themeColor="text1"/>
          <w:shd w:val="clear" w:color="auto" w:fill="FFFFFF"/>
        </w:rPr>
        <w:t xml:space="preserve">(10), </w:t>
      </w:r>
      <w:proofErr w:type="spellStart"/>
      <w:r w:rsidRPr="0080589C">
        <w:rPr>
          <w:color w:val="000000" w:themeColor="text1"/>
          <w:shd w:val="clear" w:color="auto" w:fill="FFFFFF"/>
        </w:rPr>
        <w:t>Article</w:t>
      </w:r>
      <w:proofErr w:type="spellEnd"/>
      <w:r w:rsidRPr="0080589C">
        <w:rPr>
          <w:color w:val="000000" w:themeColor="text1"/>
          <w:shd w:val="clear" w:color="auto" w:fill="FFFFFF"/>
        </w:rPr>
        <w:t xml:space="preserve"> e0222394. </w:t>
      </w:r>
      <w:hyperlink r:id="rId15" w:history="1">
        <w:r w:rsidRPr="0080589C">
          <w:rPr>
            <w:rStyle w:val="Hyperlink"/>
            <w:color w:val="000000" w:themeColor="text1"/>
            <w:shd w:val="clear" w:color="auto" w:fill="FFFFFF"/>
          </w:rPr>
          <w:t>https://doi.org/10.1371/journal.pone.0222394</w:t>
        </w:r>
      </w:hyperlink>
    </w:p>
    <w:p w:rsidR="0080589C" w:rsidRPr="0080589C" w:rsidRDefault="0080589C" w:rsidP="0080589C">
      <w:pPr>
        <w:rPr>
          <w:color w:val="000000" w:themeColor="text1"/>
        </w:rPr>
      </w:pPr>
    </w:p>
    <w:p w:rsidR="0080589C" w:rsidRPr="0080589C" w:rsidRDefault="0080589C" w:rsidP="0080589C">
      <w:pPr>
        <w:rPr>
          <w:color w:val="000000" w:themeColor="text1"/>
        </w:rPr>
      </w:pPr>
    </w:p>
    <w:p w:rsidR="0080589C" w:rsidRPr="0080589C" w:rsidRDefault="0080589C" w:rsidP="0080589C">
      <w:pPr>
        <w:rPr>
          <w:color w:val="000000" w:themeColor="text1"/>
        </w:rPr>
      </w:pPr>
    </w:p>
    <w:sectPr w:rsidR="0080589C" w:rsidRPr="0080589C">
      <w:footerReference w:type="even" r:id="rId16"/>
      <w:footerReference w:type="default" r:id="rId17"/>
      <w:pgSz w:w="11906" w:h="16838"/>
      <w:pgMar w:top="1417" w:right="1417" w:bottom="1417" w:left="1417" w:header="1440" w:footer="9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BF" w:rsidRDefault="006A68BF">
      <w:r>
        <w:separator/>
      </w:r>
    </w:p>
  </w:endnote>
  <w:endnote w:type="continuationSeparator" w:id="0">
    <w:p w:rsidR="006A68BF" w:rsidRDefault="006A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96" w:rsidRDefault="000D1D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D1D96" w:rsidRDefault="000D1D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96" w:rsidRDefault="000D1D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:rsidR="000D1D96" w:rsidRDefault="000D1D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BF" w:rsidRDefault="006A68BF">
      <w:r>
        <w:separator/>
      </w:r>
    </w:p>
  </w:footnote>
  <w:footnote w:type="continuationSeparator" w:id="0">
    <w:p w:rsidR="006A68BF" w:rsidRDefault="006A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C129B"/>
    <w:multiLevelType w:val="multilevel"/>
    <w:tmpl w:val="F5DEDA5E"/>
    <w:lvl w:ilvl="0">
      <w:start w:val="1"/>
      <w:numFmt w:val="decimal"/>
      <w:pStyle w:val="AEuroSub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MjazNDExtTAyMTNU0lEKTi0uzszPAykwqgUARKrtEywAAAA="/>
  </w:docVars>
  <w:rsids>
    <w:rsidRoot w:val="00E61A19"/>
    <w:rsid w:val="000D1D96"/>
    <w:rsid w:val="003C7AD5"/>
    <w:rsid w:val="006A68BF"/>
    <w:rsid w:val="007A0894"/>
    <w:rsid w:val="0080589C"/>
    <w:rsid w:val="00935FD7"/>
    <w:rsid w:val="009B106C"/>
    <w:rsid w:val="00A8785D"/>
    <w:rsid w:val="00BB3DE3"/>
    <w:rsid w:val="00E306C6"/>
    <w:rsid w:val="00E6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FF31"/>
  <w15:docId w15:val="{BAA7278B-8AF6-4524-80AF-47941850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FollowedHyperlink">
    <w:name w:val="FollowedHyperlink"/>
    <w:rPr>
      <w:rFonts w:ascii="Times New Roman" w:hAnsi="Times New Roman"/>
      <w:color w:val="000000"/>
      <w:sz w:val="24"/>
      <w:u w:val="none"/>
      <w:lang w:val="en-GB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yperlink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GB"/>
    </w:r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rPr>
      <w:lang w:val="es-ES_tradnl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lang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suppressAutoHyphens/>
      <w:jc w:val="right"/>
    </w:pPr>
    <w:rPr>
      <w:rFonts w:eastAsia="Arial"/>
      <w:sz w:val="16"/>
      <w:lang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n-GB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n-GB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BodyText3">
    <w:name w:val="Body Text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EndnoteText">
    <w:name w:val="endnote text"/>
    <w:basedOn w:val="Normal"/>
    <w:pPr>
      <w:widowControl/>
    </w:pPr>
    <w:rPr>
      <w:sz w:val="20"/>
      <w:lang w:val="es-ES"/>
    </w:rPr>
  </w:style>
  <w:style w:type="paragraph" w:styleId="BodyText2">
    <w:name w:val="Body Text 2"/>
    <w:basedOn w:val="Normal"/>
    <w:pPr>
      <w:widowControl/>
    </w:pPr>
    <w:rPr>
      <w:lang w:val="es-ES"/>
    </w:rPr>
  </w:style>
  <w:style w:type="paragraph" w:styleId="BodyTextIndent3">
    <w:name w:val="Body Text Indent 3"/>
    <w:basedOn w:val="Normal"/>
    <w:pPr>
      <w:widowControl/>
      <w:ind w:firstLine="709"/>
    </w:pPr>
    <w:rPr>
      <w:b/>
      <w:u w:val="single"/>
      <w:lang w:val="es-ES"/>
    </w:rPr>
  </w:style>
  <w:style w:type="paragraph" w:styleId="BodyTextIndent2">
    <w:name w:val="Body Text Indent 2"/>
    <w:basedOn w:val="Normal"/>
    <w:pPr>
      <w:widowControl/>
      <w:ind w:firstLine="709"/>
    </w:pPr>
    <w:rPr>
      <w:lang w:val="es-ES"/>
    </w:r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BodyText"/>
  </w:style>
  <w:style w:type="paragraph" w:customStyle="1" w:styleId="Reference">
    <w:name w:val="Reference"/>
    <w:basedOn w:val="Normal"/>
    <w:pPr>
      <w:tabs>
        <w:tab w:val="num" w:pos="720"/>
      </w:tabs>
      <w:spacing w:after="240"/>
      <w:ind w:left="720" w:hanging="720"/>
    </w:pPr>
  </w:style>
  <w:style w:type="paragraph" w:customStyle="1" w:styleId="HeaderAbs">
    <w:name w:val="Header (Abs."/>
    <w:basedOn w:val="Heading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lang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lang w:eastAsia="ar-SA"/>
    </w:rPr>
  </w:style>
  <w:style w:type="table" w:styleId="TableGrid">
    <w:name w:val="Table Grid"/>
    <w:basedOn w:val="TableNormal"/>
    <w:rsid w:val="008D32D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TReferences">
    <w:name w:val="IET References"/>
    <w:basedOn w:val="Normal"/>
    <w:qFormat/>
    <w:locked/>
    <w:rsid w:val="005F0094"/>
    <w:pPr>
      <w:widowControl/>
      <w:suppressAutoHyphens w:val="0"/>
    </w:pPr>
    <w:rPr>
      <w:rFonts w:eastAsia="SimSun"/>
      <w:sz w:val="22"/>
      <w:lang w:val="en-GB" w:eastAsia="en-GB"/>
    </w:rPr>
  </w:style>
  <w:style w:type="paragraph" w:styleId="BalloonText">
    <w:name w:val="Balloon Text"/>
    <w:basedOn w:val="Normal"/>
    <w:link w:val="BalloonTextChar"/>
    <w:rsid w:val="00CC3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340C"/>
    <w:rPr>
      <w:rFonts w:ascii="Segoe UI" w:hAnsi="Segoe UI" w:cs="Segoe UI"/>
      <w:sz w:val="18"/>
      <w:szCs w:val="18"/>
      <w:lang w:val="es-ES_tradnl" w:eastAsia="ar-SA"/>
    </w:rPr>
  </w:style>
  <w:style w:type="paragraph" w:styleId="ListParagraph">
    <w:name w:val="List Paragraph"/>
    <w:basedOn w:val="Normal"/>
    <w:uiPriority w:val="34"/>
    <w:qFormat/>
    <w:rsid w:val="008721A8"/>
    <w:pPr>
      <w:widowControl/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FooterChar">
    <w:name w:val="Footer Char"/>
    <w:link w:val="Footer"/>
    <w:uiPriority w:val="99"/>
    <w:rsid w:val="004C4D9B"/>
    <w:rPr>
      <w:sz w:val="24"/>
      <w:lang w:val="es-ES_tradnl" w:eastAsia="ar-SA"/>
    </w:rPr>
  </w:style>
  <w:style w:type="paragraph" w:customStyle="1" w:styleId="Abstracttext">
    <w:name w:val="Abstract text"/>
    <w:basedOn w:val="Normal"/>
    <w:rsid w:val="009D6053"/>
    <w:pPr>
      <w:widowControl/>
      <w:suppressAutoHyphens w:val="0"/>
      <w:spacing w:after="200"/>
      <w:jc w:val="both"/>
    </w:pPr>
    <w:rPr>
      <w:i/>
      <w:sz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906239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authorsname@aaaa.bbb" TargetMode="External"/><Relationship Id="rId13" Type="http://schemas.openxmlformats.org/officeDocument/2006/relationships/hyperlink" Target="https://doi.org/10.1007/978-981-10-4241-6_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cu.edu.au/library/loan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ihw.gov.au/getmedia/7c42913d-295f-4bc9-9c24-4e44eff4a04a/aihw-aus-221.pdf.aspx?inline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371/journal.pone.0222394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health.qld.gov.au/foodsafety/Documents/fs-51-allerg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BEPdIEPsUW/uRgs5J1H04HNlw==">AMUW2mW3URguo4rOA1Oh/lpkZ/eLQAElRcwkzKAzwKC/JJOpLYym8MBhOIqnvh2S+Uxc5Zem+7w3TEE4XyGiS9YezgGhwrZ4fBnG3AZ20yyQzw1QdmWkJQTm047fKXja3HZs88PAX9DZ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Ambrosio</dc:creator>
  <cp:lastModifiedBy>Comments </cp:lastModifiedBy>
  <cp:revision>3</cp:revision>
  <dcterms:created xsi:type="dcterms:W3CDTF">2021-08-15T17:56:00Z</dcterms:created>
  <dcterms:modified xsi:type="dcterms:W3CDTF">2021-08-21T09:58:00Z</dcterms:modified>
</cp:coreProperties>
</file>